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D1E57" w14:textId="59BC6A21" w:rsidR="00C86606" w:rsidRDefault="00C86606" w:rsidP="009E4088">
      <w:pPr>
        <w:pStyle w:val="PlainText"/>
      </w:pPr>
    </w:p>
    <w:p w14:paraId="7EE5E752" w14:textId="54E82614" w:rsidR="00C86606" w:rsidRDefault="00C86606" w:rsidP="009E4088">
      <w:pPr>
        <w:pStyle w:val="PlainText"/>
      </w:pPr>
    </w:p>
    <w:p w14:paraId="6909BFAE" w14:textId="21D223D3" w:rsidR="00C86606" w:rsidRPr="00942CC1" w:rsidRDefault="00C86606" w:rsidP="009E4088">
      <w:pPr>
        <w:pStyle w:val="PlainText"/>
        <w:rPr>
          <w:b/>
          <w:bCs/>
        </w:rPr>
      </w:pPr>
      <w:r w:rsidRPr="00942CC1">
        <w:rPr>
          <w:b/>
          <w:bCs/>
        </w:rPr>
        <w:t>Planning Application 19/02013/FULL</w:t>
      </w:r>
    </w:p>
    <w:p w14:paraId="16236FAD" w14:textId="5AC7E089" w:rsidR="00C86606" w:rsidRPr="00942CC1" w:rsidRDefault="00C86606" w:rsidP="009E4088">
      <w:pPr>
        <w:pStyle w:val="PlainText"/>
        <w:rPr>
          <w:b/>
          <w:bCs/>
          <w:u w:val="single"/>
        </w:rPr>
      </w:pPr>
      <w:r w:rsidRPr="00942CC1">
        <w:rPr>
          <w:b/>
          <w:bCs/>
          <w:u w:val="single"/>
        </w:rPr>
        <w:t>Revised Plans for the erection of dwelling and demolition of agricultural building on land north of Wardmoor</w:t>
      </w:r>
    </w:p>
    <w:p w14:paraId="2C18BD6B" w14:textId="77777777" w:rsidR="00C86606" w:rsidRDefault="00C86606" w:rsidP="009E4088">
      <w:pPr>
        <w:pStyle w:val="PlainText"/>
      </w:pPr>
    </w:p>
    <w:p w14:paraId="7A28490B" w14:textId="3101194D" w:rsidR="00C86606" w:rsidRDefault="009E4088" w:rsidP="009E4088">
      <w:pPr>
        <w:pStyle w:val="PlainText"/>
      </w:pPr>
      <w:r>
        <w:t>The revised plan</w:t>
      </w:r>
      <w:r w:rsidR="00C86606">
        <w:t>s</w:t>
      </w:r>
      <w:r>
        <w:t xml:space="preserve"> submitted by the </w:t>
      </w:r>
      <w:r w:rsidR="00C86606">
        <w:t>A</w:t>
      </w:r>
      <w:r>
        <w:t xml:space="preserve">pplicant were considered at a planning meeting of the </w:t>
      </w:r>
      <w:r w:rsidR="00C86606">
        <w:t>C</w:t>
      </w:r>
      <w:r>
        <w:t xml:space="preserve">ouncil on </w:t>
      </w:r>
      <w:r w:rsidR="009C550D">
        <w:t>6</w:t>
      </w:r>
      <w:r w:rsidR="00C86606">
        <w:t>th</w:t>
      </w:r>
      <w:r>
        <w:t xml:space="preserve"> May</w:t>
      </w:r>
      <w:r w:rsidR="00C86606">
        <w:t>.</w:t>
      </w:r>
    </w:p>
    <w:p w14:paraId="3B1DEEDD" w14:textId="77777777" w:rsidR="00C86606" w:rsidRDefault="00C86606" w:rsidP="009E4088">
      <w:pPr>
        <w:pStyle w:val="PlainText"/>
      </w:pPr>
    </w:p>
    <w:p w14:paraId="1F5E5A04" w14:textId="77777777" w:rsidR="00C86606" w:rsidRDefault="00C86606" w:rsidP="009E4088">
      <w:pPr>
        <w:pStyle w:val="PlainText"/>
      </w:pPr>
      <w:r>
        <w:t>Our Council’s comments are as follows;</w:t>
      </w:r>
    </w:p>
    <w:p w14:paraId="59FBA94D" w14:textId="77777777" w:rsidR="00C86606" w:rsidRDefault="00C86606" w:rsidP="009E4088">
      <w:pPr>
        <w:pStyle w:val="PlainText"/>
      </w:pPr>
    </w:p>
    <w:p w14:paraId="4BF014E2" w14:textId="154C8F96" w:rsidR="009E4088" w:rsidRDefault="00C86606" w:rsidP="00C86606">
      <w:pPr>
        <w:pStyle w:val="PlainText"/>
        <w:numPr>
          <w:ilvl w:val="0"/>
          <w:numId w:val="1"/>
        </w:numPr>
      </w:pPr>
      <w:r>
        <w:t xml:space="preserve">The comments made by our Council </w:t>
      </w:r>
      <w:r w:rsidR="005A779F">
        <w:t xml:space="preserve">on 10th January </w:t>
      </w:r>
      <w:r w:rsidR="00F76D57">
        <w:t>2020</w:t>
      </w:r>
      <w:r w:rsidR="009E4088">
        <w:t xml:space="preserve"> </w:t>
      </w:r>
      <w:r>
        <w:t>in response to the original application apply equally to the revised application.</w:t>
      </w:r>
    </w:p>
    <w:p w14:paraId="61B3656E" w14:textId="77777777" w:rsidR="005A779F" w:rsidRDefault="005A779F" w:rsidP="005A779F">
      <w:pPr>
        <w:pStyle w:val="PlainText"/>
        <w:ind w:left="360"/>
      </w:pPr>
    </w:p>
    <w:p w14:paraId="35A55211" w14:textId="3AFC75C6" w:rsidR="009E4088" w:rsidRDefault="005A779F" w:rsidP="009E4088">
      <w:pPr>
        <w:pStyle w:val="PlainText"/>
        <w:numPr>
          <w:ilvl w:val="0"/>
          <w:numId w:val="1"/>
        </w:numPr>
      </w:pPr>
      <w:r>
        <w:t xml:space="preserve">Our Council notes that the siting </w:t>
      </w:r>
      <w:r w:rsidR="009E4088">
        <w:t xml:space="preserve">of the proposed </w:t>
      </w:r>
      <w:r>
        <w:t xml:space="preserve">dwelling </w:t>
      </w:r>
      <w:r w:rsidR="009E4088">
        <w:t>has been moved so that it is now partly on the site of the existing barn</w:t>
      </w:r>
      <w:r>
        <w:t>. T</w:t>
      </w:r>
      <w:r w:rsidR="009E4088">
        <w:t xml:space="preserve">his does not in the opinion of </w:t>
      </w:r>
      <w:r w:rsidR="00EC6F7F">
        <w:t>our C</w:t>
      </w:r>
      <w:r w:rsidR="009E4088">
        <w:t xml:space="preserve">ouncil address concerns about the introduction into the open countryside </w:t>
      </w:r>
      <w:r w:rsidR="00EC6F7F">
        <w:t>of a dwelling of the kind proposed.</w:t>
      </w:r>
    </w:p>
    <w:p w14:paraId="4777BF4A" w14:textId="77777777" w:rsidR="00EC6F7F" w:rsidRDefault="00EC6F7F" w:rsidP="00EC6F7F">
      <w:pPr>
        <w:pStyle w:val="ListParagraph"/>
      </w:pPr>
    </w:p>
    <w:p w14:paraId="127FE25F" w14:textId="62BB67D3" w:rsidR="009E4088" w:rsidRDefault="00EC6F7F" w:rsidP="009E4088">
      <w:pPr>
        <w:pStyle w:val="PlainText"/>
        <w:numPr>
          <w:ilvl w:val="0"/>
          <w:numId w:val="1"/>
        </w:numPr>
      </w:pPr>
      <w:r>
        <w:t>It is</w:t>
      </w:r>
      <w:r w:rsidR="009E4088">
        <w:t xml:space="preserve"> consider</w:t>
      </w:r>
      <w:r>
        <w:t xml:space="preserve">ed </w:t>
      </w:r>
      <w:r w:rsidR="001A4EA8">
        <w:t>that</w:t>
      </w:r>
      <w:r w:rsidR="009E4088">
        <w:t xml:space="preserve"> </w:t>
      </w:r>
      <w:r>
        <w:t xml:space="preserve">any new dwelling </w:t>
      </w:r>
      <w:r w:rsidR="009E4088">
        <w:t xml:space="preserve">should be kept within the building envelope </w:t>
      </w:r>
      <w:r>
        <w:t xml:space="preserve">of the current barn and should not exceed </w:t>
      </w:r>
      <w:r w:rsidR="00417B3D">
        <w:t>its</w:t>
      </w:r>
      <w:r>
        <w:t xml:space="preserve"> height</w:t>
      </w:r>
      <w:r w:rsidR="00417B3D">
        <w:t xml:space="preserve"> </w:t>
      </w:r>
      <w:r>
        <w:t xml:space="preserve">or be any more prominent in </w:t>
      </w:r>
      <w:r w:rsidR="00417B3D">
        <w:t>th</w:t>
      </w:r>
      <w:r w:rsidR="00F76D57">
        <w:t>is</w:t>
      </w:r>
      <w:r w:rsidR="00417B3D">
        <w:t xml:space="preserve"> special rural setting.</w:t>
      </w:r>
      <w:r>
        <w:t xml:space="preserve"> </w:t>
      </w:r>
    </w:p>
    <w:p w14:paraId="01808211" w14:textId="77777777" w:rsidR="00417B3D" w:rsidRDefault="00417B3D" w:rsidP="00417B3D">
      <w:pPr>
        <w:pStyle w:val="ListParagraph"/>
      </w:pPr>
    </w:p>
    <w:p w14:paraId="2578CC59" w14:textId="4A8AFCAB" w:rsidR="00F76D57" w:rsidRDefault="00417B3D" w:rsidP="009E4088">
      <w:pPr>
        <w:pStyle w:val="PlainText"/>
        <w:numPr>
          <w:ilvl w:val="0"/>
          <w:numId w:val="1"/>
        </w:numPr>
      </w:pPr>
      <w:r>
        <w:t xml:space="preserve">The external appearance </w:t>
      </w:r>
      <w:r w:rsidR="00F76D57">
        <w:t xml:space="preserve">generally </w:t>
      </w:r>
      <w:r>
        <w:t>should be such as to be no</w:t>
      </w:r>
      <w:r w:rsidR="00F76D57">
        <w:t>t</w:t>
      </w:r>
      <w:r>
        <w:t xml:space="preserve"> mat</w:t>
      </w:r>
      <w:r w:rsidR="00F76D57">
        <w:t>erially different from the current barn. In particular</w:t>
      </w:r>
      <w:r w:rsidR="000A32CA">
        <w:t>,</w:t>
      </w:r>
      <w:r w:rsidR="00F76D57">
        <w:t xml:space="preserve"> there should be natural timber elevations which should not be painted.</w:t>
      </w:r>
    </w:p>
    <w:p w14:paraId="26442BE1" w14:textId="77777777" w:rsidR="00F76D57" w:rsidRDefault="00F76D57" w:rsidP="00F76D57">
      <w:pPr>
        <w:pStyle w:val="ListParagraph"/>
      </w:pPr>
    </w:p>
    <w:p w14:paraId="0D348A9D" w14:textId="46CA2C49" w:rsidR="00F76D57" w:rsidRDefault="00F76D57" w:rsidP="009E4088">
      <w:pPr>
        <w:pStyle w:val="PlainText"/>
        <w:numPr>
          <w:ilvl w:val="0"/>
          <w:numId w:val="1"/>
        </w:numPr>
      </w:pPr>
      <w:r>
        <w:t xml:space="preserve"> </w:t>
      </w:r>
      <w:r w:rsidR="009E4088">
        <w:t>The proposed dwelling conflicts with MDDC policy –</w:t>
      </w:r>
      <w:r w:rsidR="000A32CA">
        <w:t xml:space="preserve"> See </w:t>
      </w:r>
      <w:r w:rsidR="009C550D">
        <w:t>our</w:t>
      </w:r>
      <w:r w:rsidR="000A32CA">
        <w:t xml:space="preserve"> Council’s letter of 10</w:t>
      </w:r>
      <w:r w:rsidR="000A32CA" w:rsidRPr="000A32CA">
        <w:rPr>
          <w:vertAlign w:val="superscript"/>
        </w:rPr>
        <w:t>th</w:t>
      </w:r>
      <w:r w:rsidR="000A32CA">
        <w:t xml:space="preserve"> January 2020</w:t>
      </w:r>
      <w:r w:rsidR="009E4088">
        <w:t xml:space="preserve">. </w:t>
      </w:r>
    </w:p>
    <w:p w14:paraId="33B65E03" w14:textId="77777777" w:rsidR="00F76D57" w:rsidRDefault="00F76D57" w:rsidP="00F76D57">
      <w:pPr>
        <w:pStyle w:val="ListParagraph"/>
      </w:pPr>
    </w:p>
    <w:p w14:paraId="4CDBFE56" w14:textId="2EF00CEF" w:rsidR="009E4088" w:rsidRDefault="009E4088" w:rsidP="009E4088">
      <w:pPr>
        <w:pStyle w:val="PlainText"/>
        <w:numPr>
          <w:ilvl w:val="0"/>
          <w:numId w:val="1"/>
        </w:numPr>
      </w:pPr>
      <w:r>
        <w:t>Development outside settlements need</w:t>
      </w:r>
      <w:r w:rsidR="00CC267C">
        <w:t>s</w:t>
      </w:r>
      <w:r>
        <w:t xml:space="preserve"> to be strictly controlled and our </w:t>
      </w:r>
      <w:r w:rsidR="00F76D57">
        <w:t>C</w:t>
      </w:r>
      <w:r>
        <w:t>ouncil does not agree that the so-called “</w:t>
      </w:r>
      <w:r w:rsidR="00F76D57">
        <w:t>C</w:t>
      </w:r>
      <w:r>
        <w:t xml:space="preserve">lass Q fallback position </w:t>
      </w:r>
      <w:proofErr w:type="gramStart"/>
      <w:r>
        <w:t xml:space="preserve">“ </w:t>
      </w:r>
      <w:r w:rsidR="00F76D57">
        <w:t>j</w:t>
      </w:r>
      <w:r>
        <w:t>ustifies</w:t>
      </w:r>
      <w:proofErr w:type="gramEnd"/>
      <w:r>
        <w:t xml:space="preserve"> such </w:t>
      </w:r>
      <w:r w:rsidR="00F76D57">
        <w:t>departure</w:t>
      </w:r>
      <w:r>
        <w:t xml:space="preserve"> from  the development plan</w:t>
      </w:r>
      <w:r w:rsidR="001A4EA8">
        <w:t xml:space="preserve"> policies</w:t>
      </w:r>
      <w:r>
        <w:t>.</w:t>
      </w:r>
      <w:r w:rsidR="006E6D3E">
        <w:t xml:space="preserve"> MDDC will be aware that the importance of our plan-led system has recently been underlined by the recent decision in Gladman </w:t>
      </w:r>
      <w:r w:rsidR="007F127E">
        <w:t xml:space="preserve">Developments Ltd </w:t>
      </w:r>
      <w:r w:rsidR="006E6D3E">
        <w:t>v The Secretary of State</w:t>
      </w:r>
      <w:r w:rsidR="007F127E">
        <w:t xml:space="preserve"> &amp; </w:t>
      </w:r>
      <w:r w:rsidR="001A4EA8">
        <w:t>A</w:t>
      </w:r>
      <w:r w:rsidR="007F127E">
        <w:t>nor</w:t>
      </w:r>
      <w:r w:rsidR="001A4EA8">
        <w:t>.</w:t>
      </w:r>
    </w:p>
    <w:p w14:paraId="78E6B951" w14:textId="77777777" w:rsidR="00F76D57" w:rsidRDefault="00F76D57" w:rsidP="00F76D57">
      <w:pPr>
        <w:pStyle w:val="ListParagraph"/>
      </w:pPr>
    </w:p>
    <w:p w14:paraId="2EB90EB3" w14:textId="56785F9B" w:rsidR="009E4088" w:rsidRDefault="009E4088" w:rsidP="009E4088">
      <w:pPr>
        <w:pStyle w:val="PlainText"/>
        <w:numPr>
          <w:ilvl w:val="0"/>
          <w:numId w:val="1"/>
        </w:numPr>
      </w:pPr>
      <w:r>
        <w:t xml:space="preserve">Such a radical departure from the </w:t>
      </w:r>
      <w:r w:rsidR="006E6D3E">
        <w:t>D</w:t>
      </w:r>
      <w:r>
        <w:t xml:space="preserve">evelopment </w:t>
      </w:r>
      <w:r w:rsidR="006E6D3E">
        <w:t>Plan policies</w:t>
      </w:r>
      <w:r>
        <w:t xml:space="preserve"> will create a</w:t>
      </w:r>
      <w:r w:rsidR="006E6D3E">
        <w:t xml:space="preserve">n unjustified adverse </w:t>
      </w:r>
      <w:r>
        <w:t xml:space="preserve">precedent across the </w:t>
      </w:r>
      <w:r w:rsidR="006E6D3E">
        <w:t xml:space="preserve">whole </w:t>
      </w:r>
      <w:r>
        <w:t xml:space="preserve">of the </w:t>
      </w:r>
      <w:r w:rsidR="00942CC1">
        <w:t>District.</w:t>
      </w:r>
    </w:p>
    <w:p w14:paraId="31215AEB" w14:textId="77777777" w:rsidR="001A4EA8" w:rsidRDefault="001A4EA8" w:rsidP="001A4EA8">
      <w:pPr>
        <w:pStyle w:val="ListParagraph"/>
      </w:pPr>
    </w:p>
    <w:p w14:paraId="4C310724" w14:textId="314B6DD1" w:rsidR="0057099E" w:rsidRDefault="0057099E" w:rsidP="009E4088">
      <w:pPr>
        <w:pStyle w:val="PlainText"/>
        <w:numPr>
          <w:ilvl w:val="0"/>
          <w:numId w:val="1"/>
        </w:numPr>
      </w:pPr>
      <w:r>
        <w:t xml:space="preserve">For these reasons, our Council considers that planning permission for </w:t>
      </w:r>
      <w:r w:rsidR="00734D49">
        <w:t xml:space="preserve">the </w:t>
      </w:r>
      <w:r>
        <w:t>development</w:t>
      </w:r>
      <w:r w:rsidR="00734D49">
        <w:t xml:space="preserve"> </w:t>
      </w:r>
      <w:r>
        <w:t>(as revised) should be refused</w:t>
      </w:r>
      <w:r w:rsidR="00734D49">
        <w:t>.</w:t>
      </w:r>
    </w:p>
    <w:p w14:paraId="0FEBC98C" w14:textId="77777777" w:rsidR="0057099E" w:rsidRDefault="0057099E" w:rsidP="0057099E">
      <w:pPr>
        <w:pStyle w:val="ListParagraph"/>
      </w:pPr>
    </w:p>
    <w:p w14:paraId="7FEC8E70" w14:textId="767D9675" w:rsidR="001A4EA8" w:rsidRDefault="001A4EA8" w:rsidP="009E4088">
      <w:pPr>
        <w:pStyle w:val="PlainText"/>
        <w:numPr>
          <w:ilvl w:val="0"/>
          <w:numId w:val="1"/>
        </w:numPr>
      </w:pPr>
      <w:r>
        <w:t xml:space="preserve">If the relevant planning officer is minded to approve this </w:t>
      </w:r>
      <w:r w:rsidR="00942CC1">
        <w:t>application,</w:t>
      </w:r>
      <w:r w:rsidR="00CC267C">
        <w:t xml:space="preserve"> o</w:t>
      </w:r>
      <w:r>
        <w:t>ur Council ask that the application is called in for consideration by Planning Committee</w:t>
      </w:r>
      <w:r w:rsidR="00BD4175">
        <w:t>.</w:t>
      </w:r>
    </w:p>
    <w:p w14:paraId="70890E4E" w14:textId="77777777" w:rsidR="00BD4175" w:rsidRDefault="00BD4175" w:rsidP="00BD4175">
      <w:pPr>
        <w:pStyle w:val="ListParagraph"/>
      </w:pPr>
    </w:p>
    <w:p w14:paraId="38F1F9A1" w14:textId="26C6AFF1" w:rsidR="00BD4175" w:rsidRDefault="00BD4175" w:rsidP="00BD4175">
      <w:pPr>
        <w:pStyle w:val="PlainText"/>
        <w:numPr>
          <w:ilvl w:val="0"/>
          <w:numId w:val="1"/>
        </w:numPr>
      </w:pPr>
      <w:r>
        <w:lastRenderedPageBreak/>
        <w:t xml:space="preserve"> Without prejudice to the submissions made in this letter if ultimately MDDC determine to grant planning permission conditions should be imposed or a Section 106 agreement entered into relating to the following matters:</w:t>
      </w:r>
    </w:p>
    <w:p w14:paraId="360279BE" w14:textId="2F4E7B9D" w:rsidR="00BD4175" w:rsidRDefault="00BD4175" w:rsidP="00BD4175">
      <w:pPr>
        <w:pStyle w:val="PlainText"/>
        <w:numPr>
          <w:ilvl w:val="0"/>
          <w:numId w:val="2"/>
        </w:numPr>
      </w:pPr>
      <w:r>
        <w:t>The removal of the existing barn before development commences.</w:t>
      </w:r>
    </w:p>
    <w:p w14:paraId="18054937" w14:textId="0D192226" w:rsidR="00BD4175" w:rsidRDefault="00BD4175" w:rsidP="00BD4175">
      <w:pPr>
        <w:pStyle w:val="PlainText"/>
        <w:numPr>
          <w:ilvl w:val="0"/>
          <w:numId w:val="2"/>
        </w:numPr>
      </w:pPr>
      <w:r>
        <w:t>The imposition of restrictions on lighting- as mentioned in the Council’s letter of 10</w:t>
      </w:r>
      <w:r w:rsidRPr="00BD4175">
        <w:rPr>
          <w:vertAlign w:val="superscript"/>
        </w:rPr>
        <w:t>th</w:t>
      </w:r>
      <w:r>
        <w:t xml:space="preserve"> January.</w:t>
      </w:r>
    </w:p>
    <w:p w14:paraId="1DD678A2" w14:textId="23EB4BFE" w:rsidR="00BD4175" w:rsidRDefault="00CC267C" w:rsidP="00BD4175">
      <w:pPr>
        <w:pStyle w:val="PlainText"/>
        <w:numPr>
          <w:ilvl w:val="0"/>
          <w:numId w:val="2"/>
        </w:numPr>
      </w:pPr>
      <w:r>
        <w:t>The r</w:t>
      </w:r>
      <w:r w:rsidR="00BD4175">
        <w:t xml:space="preserve">eservation for subsequent approval </w:t>
      </w:r>
      <w:r w:rsidR="00937293">
        <w:t xml:space="preserve">of </w:t>
      </w:r>
      <w:r w:rsidR="00BD4175">
        <w:t xml:space="preserve">external materials including treatment of </w:t>
      </w:r>
      <w:r w:rsidR="00942CC1">
        <w:t>elevations.</w:t>
      </w:r>
    </w:p>
    <w:p w14:paraId="1BC3D55C" w14:textId="2B5E0D9B" w:rsidR="00F47E24" w:rsidRDefault="00F47E24" w:rsidP="00BD4175">
      <w:pPr>
        <w:pStyle w:val="PlainText"/>
        <w:numPr>
          <w:ilvl w:val="0"/>
          <w:numId w:val="2"/>
        </w:numPr>
      </w:pPr>
      <w:r>
        <w:t>Control over subsequent changes to external appearance.</w:t>
      </w:r>
    </w:p>
    <w:p w14:paraId="523CCA4D" w14:textId="251B254C" w:rsidR="00F47E24" w:rsidRDefault="00F47E24" w:rsidP="00BD4175">
      <w:pPr>
        <w:pStyle w:val="PlainText"/>
        <w:numPr>
          <w:ilvl w:val="0"/>
          <w:numId w:val="2"/>
        </w:numPr>
      </w:pPr>
      <w:r>
        <w:t xml:space="preserve">Control over subsequent extensions to the building using Permitted Development rights </w:t>
      </w:r>
      <w:r w:rsidR="00937293">
        <w:t xml:space="preserve">so as require </w:t>
      </w:r>
      <w:r>
        <w:t>express planning permission.</w:t>
      </w:r>
    </w:p>
    <w:p w14:paraId="47DE946D" w14:textId="77777777" w:rsidR="00BD4175" w:rsidRDefault="00BD4175" w:rsidP="00BD4175">
      <w:pPr>
        <w:pStyle w:val="PlainText"/>
        <w:numPr>
          <w:ilvl w:val="0"/>
          <w:numId w:val="2"/>
        </w:numPr>
      </w:pPr>
      <w:r>
        <w:t>Imposition of a restriction on the height of the building to an acceptable level.</w:t>
      </w:r>
    </w:p>
    <w:p w14:paraId="75FD09C3" w14:textId="1D729593" w:rsidR="00BD4175" w:rsidRDefault="00BD4175" w:rsidP="00BD4175">
      <w:pPr>
        <w:pStyle w:val="PlainText"/>
        <w:numPr>
          <w:ilvl w:val="0"/>
          <w:numId w:val="2"/>
        </w:numPr>
      </w:pPr>
      <w:r>
        <w:t>Additionally,</w:t>
      </w:r>
      <w:r w:rsidR="00937293">
        <w:t xml:space="preserve"> </w:t>
      </w:r>
      <w:r>
        <w:t>there would need to be a section 106 Agreement securing a contribution to the Holcombe Rogus play area.</w:t>
      </w:r>
    </w:p>
    <w:p w14:paraId="68011F9B" w14:textId="4BF0CDE7" w:rsidR="00BD4175" w:rsidRDefault="00BD4175" w:rsidP="00BD4175">
      <w:pPr>
        <w:pStyle w:val="PlainText"/>
      </w:pPr>
    </w:p>
    <w:p w14:paraId="0E266E27" w14:textId="7835D406" w:rsidR="00BD4175" w:rsidRDefault="00BD4175" w:rsidP="00BD4175">
      <w:pPr>
        <w:pStyle w:val="PlainText"/>
      </w:pPr>
    </w:p>
    <w:p w14:paraId="0E18C903" w14:textId="77777777" w:rsidR="00BD4175" w:rsidRDefault="00BD4175" w:rsidP="00F47E24">
      <w:pPr>
        <w:pStyle w:val="PlainText"/>
      </w:pPr>
    </w:p>
    <w:p w14:paraId="0C75A5B9" w14:textId="77777777" w:rsidR="009E4088" w:rsidRDefault="009E4088" w:rsidP="009E4088">
      <w:pPr>
        <w:pStyle w:val="PlainText"/>
      </w:pPr>
    </w:p>
    <w:p w14:paraId="186362A1" w14:textId="77777777" w:rsidR="009E4088" w:rsidRDefault="009E4088" w:rsidP="009E4088">
      <w:pPr>
        <w:pStyle w:val="PlainText"/>
      </w:pPr>
    </w:p>
    <w:p w14:paraId="37CB8BB6" w14:textId="77777777" w:rsidR="009E4088" w:rsidRDefault="009E4088" w:rsidP="009E4088">
      <w:pPr>
        <w:pStyle w:val="PlainText"/>
      </w:pPr>
    </w:p>
    <w:p w14:paraId="3FBF172A" w14:textId="77777777" w:rsidR="003757E7" w:rsidRDefault="003757E7"/>
    <w:sectPr w:rsidR="00375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0304"/>
    <w:multiLevelType w:val="hybridMultilevel"/>
    <w:tmpl w:val="B7D4F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66B39"/>
    <w:multiLevelType w:val="hybridMultilevel"/>
    <w:tmpl w:val="E5A47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88"/>
    <w:rsid w:val="000A32CA"/>
    <w:rsid w:val="00165614"/>
    <w:rsid w:val="001A4EA8"/>
    <w:rsid w:val="003757E7"/>
    <w:rsid w:val="00417B3D"/>
    <w:rsid w:val="00461EAA"/>
    <w:rsid w:val="0057099E"/>
    <w:rsid w:val="005A779F"/>
    <w:rsid w:val="006E6D3E"/>
    <w:rsid w:val="00734D49"/>
    <w:rsid w:val="007F127E"/>
    <w:rsid w:val="00937293"/>
    <w:rsid w:val="00942CC1"/>
    <w:rsid w:val="009441A1"/>
    <w:rsid w:val="009C550D"/>
    <w:rsid w:val="009E4088"/>
    <w:rsid w:val="00AA3595"/>
    <w:rsid w:val="00AA6DBA"/>
    <w:rsid w:val="00B31AE7"/>
    <w:rsid w:val="00BD4175"/>
    <w:rsid w:val="00C86606"/>
    <w:rsid w:val="00CC267C"/>
    <w:rsid w:val="00EC6F7F"/>
    <w:rsid w:val="00F47E24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87F6"/>
  <w15:chartTrackingRefBased/>
  <w15:docId w15:val="{F84ADCC6-1966-4198-978D-A203C75C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E40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40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C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F5070-9580-4D26-A3B7-B5EBB0BAA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3FC13-972D-423C-B1DB-0BFC2CCCD355}"/>
</file>

<file path=customXml/itemProps3.xml><?xml version="1.0" encoding="utf-8"?>
<ds:datastoreItem xmlns:ds="http://schemas.openxmlformats.org/officeDocument/2006/customXml" ds:itemID="{7C091E83-593E-4BAF-A53E-7A309A5F7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Butler</dc:creator>
  <cp:keywords/>
  <dc:description/>
  <cp:lastModifiedBy>Holcombe Rogus</cp:lastModifiedBy>
  <cp:revision>2</cp:revision>
  <cp:lastPrinted>2020-05-10T14:21:00Z</cp:lastPrinted>
  <dcterms:created xsi:type="dcterms:W3CDTF">2020-05-10T20:35:00Z</dcterms:created>
  <dcterms:modified xsi:type="dcterms:W3CDTF">2020-05-10T20:35:00Z</dcterms:modified>
</cp:coreProperties>
</file>